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59B0" w14:textId="183359A9" w:rsidR="00BC6DE3" w:rsidRPr="004778E7" w:rsidRDefault="00BC6DE3" w:rsidP="004778E7">
      <w:pPr>
        <w:jc w:val="center"/>
        <w:rPr>
          <w:b/>
          <w:bCs/>
          <w:sz w:val="28"/>
          <w:szCs w:val="28"/>
          <w:u w:val="single"/>
          <w:lang w:val="en-US"/>
        </w:rPr>
      </w:pPr>
      <w:r w:rsidRPr="004778E7">
        <w:rPr>
          <w:b/>
          <w:bCs/>
          <w:sz w:val="28"/>
          <w:szCs w:val="28"/>
          <w:u w:val="single"/>
          <w:lang w:val="en-US"/>
        </w:rPr>
        <w:t>CERTIFICATE COURSE ON RISKS IN FINANCIAL SERVIICES</w:t>
      </w:r>
    </w:p>
    <w:p w14:paraId="3F2B306F" w14:textId="77777777" w:rsidR="001B69B0" w:rsidRDefault="001B69B0" w:rsidP="001B69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5A34F6C8" w14:textId="77777777" w:rsidR="00BC6DE3" w:rsidRDefault="00BC6DE3">
      <w:pPr>
        <w:rPr>
          <w:b/>
          <w:bCs/>
          <w:u w:val="single"/>
          <w:lang w:val="en-US"/>
        </w:rPr>
      </w:pPr>
    </w:p>
    <w:p w14:paraId="1CCF4A48" w14:textId="5F572854" w:rsidR="000B5619" w:rsidRPr="006D04CC" w:rsidRDefault="000B5619" w:rsidP="006D04CC">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bookmarkStart w:id="0" w:name="_Hlk40762992"/>
      <w:r w:rsidRPr="006D04CC">
        <w:rPr>
          <w:rFonts w:ascii="Arial" w:eastAsia="Times New Roman" w:hAnsi="Arial" w:cs="Arial"/>
          <w:b/>
          <w:bCs/>
          <w:color w:val="000000"/>
          <w:sz w:val="20"/>
          <w:szCs w:val="20"/>
          <w:lang w:eastAsia="en-IN"/>
        </w:rPr>
        <w:t>RBI/2019-20/12</w:t>
      </w:r>
      <w:r w:rsidR="006D04CC" w:rsidRPr="006D04CC">
        <w:rPr>
          <w:rFonts w:ascii="Arial" w:eastAsia="Times New Roman" w:hAnsi="Arial" w:cs="Arial"/>
          <w:b/>
          <w:bCs/>
          <w:color w:val="000000"/>
          <w:sz w:val="20"/>
          <w:szCs w:val="20"/>
          <w:lang w:eastAsia="en-IN"/>
        </w:rPr>
        <w:t xml:space="preserve"> </w:t>
      </w:r>
      <w:r w:rsidRPr="006D04CC">
        <w:rPr>
          <w:rFonts w:ascii="Arial" w:eastAsia="Times New Roman" w:hAnsi="Arial" w:cs="Arial"/>
          <w:b/>
          <w:bCs/>
          <w:color w:val="000000"/>
          <w:sz w:val="20"/>
          <w:szCs w:val="20"/>
          <w:lang w:eastAsia="en-IN"/>
        </w:rPr>
        <w:t>DBR.BP.BC.No.2/21.04.098/2019-20</w:t>
      </w:r>
      <w:r w:rsidR="006D04CC" w:rsidRPr="006D04CC">
        <w:rPr>
          <w:rFonts w:ascii="Arial" w:eastAsia="Times New Roman" w:hAnsi="Arial" w:cs="Arial"/>
          <w:b/>
          <w:bCs/>
          <w:color w:val="000000"/>
          <w:sz w:val="20"/>
          <w:szCs w:val="20"/>
          <w:lang w:eastAsia="en-IN"/>
        </w:rPr>
        <w:t xml:space="preserve"> </w:t>
      </w:r>
      <w:r w:rsidR="006D04CC" w:rsidRPr="006D04CC">
        <w:rPr>
          <w:rFonts w:ascii="Arial" w:eastAsia="Times New Roman" w:hAnsi="Arial" w:cs="Arial"/>
          <w:b/>
          <w:bCs/>
          <w:color w:val="000000"/>
          <w:sz w:val="20"/>
          <w:szCs w:val="20"/>
          <w:lang w:eastAsia="en-IN"/>
        </w:rPr>
        <w:tab/>
      </w:r>
      <w:r w:rsidR="006D04CC"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July 5, 2019</w:t>
      </w:r>
    </w:p>
    <w:p w14:paraId="5761792E" w14:textId="439E910C" w:rsidR="000B5619" w:rsidRPr="004F2216" w:rsidRDefault="000B5619" w:rsidP="000B5619">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Scheduled Commercial Banks</w:t>
      </w:r>
      <w:r w:rsidR="006D04CC">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(Excluding RRBs) &amp; Small Finance</w:t>
      </w:r>
      <w:r w:rsidR="006D04CC">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Banks (SFBs)</w:t>
      </w:r>
    </w:p>
    <w:p w14:paraId="3C8C49C9" w14:textId="77777777" w:rsidR="000B5619" w:rsidRPr="004F2216" w:rsidRDefault="000B5619" w:rsidP="000B561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Basel III Framework on Liquidity Standards - Liquidity Coverage Ratio (LCR),</w:t>
      </w:r>
      <w:r w:rsidRPr="004F2216">
        <w:rPr>
          <w:rFonts w:ascii="Arial" w:eastAsia="Times New Roman" w:hAnsi="Arial" w:cs="Arial"/>
          <w:b/>
          <w:bCs/>
          <w:color w:val="000000"/>
          <w:sz w:val="20"/>
          <w:szCs w:val="20"/>
          <w:lang w:eastAsia="en-IN"/>
        </w:rPr>
        <w:br/>
        <w:t>FALLCR against credit disbursed to NBFCs and HFCs</w:t>
      </w:r>
    </w:p>
    <w:p w14:paraId="6CF77EE8"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Please refer to our </w:t>
      </w:r>
      <w:hyperlink r:id="rId5" w:tgtFrame="_blank" w:history="1">
        <w:r w:rsidRPr="004F2216">
          <w:rPr>
            <w:rFonts w:ascii="Arial" w:eastAsia="Times New Roman" w:hAnsi="Arial" w:cs="Arial"/>
            <w:color w:val="0000FF"/>
            <w:sz w:val="20"/>
            <w:szCs w:val="20"/>
            <w:u w:val="single"/>
            <w:lang w:eastAsia="en-IN"/>
          </w:rPr>
          <w:t>DBR.BP.BC.No.34/21.04.098/2018-19 dated April 4, 2019</w:t>
        </w:r>
      </w:hyperlink>
      <w:r w:rsidRPr="004F2216">
        <w:rPr>
          <w:rFonts w:ascii="Arial" w:eastAsia="Times New Roman" w:hAnsi="Arial" w:cs="Arial"/>
          <w:color w:val="000000"/>
          <w:sz w:val="20"/>
          <w:szCs w:val="20"/>
          <w:lang w:eastAsia="en-IN"/>
        </w:rPr>
        <w:t> wherein banks have been permitted to reckon, in a phased manner, an additional 2 per cent of government securities held by them under Facility to Avail Liquidity for Liquidity Coverage Ratio (FALLCR) within the mandatory SLR requirement, as Level 1 HQLA for the purpose of computing Liquidity Coverage Ratio (LCR).</w:t>
      </w:r>
    </w:p>
    <w:p w14:paraId="6DCC70C8"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w:t>
      </w:r>
    </w:p>
    <w:p w14:paraId="570F9514"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All other instructions as per our circular ibid remain unchanged.</w:t>
      </w:r>
    </w:p>
    <w:p w14:paraId="0BD6F3D0" w14:textId="77777777" w:rsidR="000B5619"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t>___________________________________________________</w:t>
      </w:r>
    </w:p>
    <w:bookmarkEnd w:id="0"/>
    <w:p w14:paraId="58A152C4" w14:textId="2E1845DB" w:rsidR="00D60B37" w:rsidRDefault="00D60B37" w:rsidP="00D60B37"/>
    <w:p w14:paraId="09A302A7" w14:textId="77777777" w:rsidR="00BC6DE3" w:rsidRPr="0080152C" w:rsidRDefault="00BC6DE3" w:rsidP="00BC6D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80152C">
        <w:rPr>
          <w:rFonts w:ascii="Arial" w:eastAsia="Times New Roman" w:hAnsi="Arial" w:cs="Arial"/>
          <w:b/>
          <w:bCs/>
          <w:color w:val="000000"/>
          <w:sz w:val="20"/>
          <w:szCs w:val="20"/>
          <w:lang w:eastAsia="en-IN"/>
        </w:rPr>
        <w:t xml:space="preserve">RBI/2019-20/60 DBR.No.BP.BC.18/21.01.003/2019-20 </w:t>
      </w:r>
      <w:r w:rsidRPr="0080152C">
        <w:rPr>
          <w:rFonts w:ascii="Arial" w:eastAsia="Times New Roman" w:hAnsi="Arial" w:cs="Arial"/>
          <w:b/>
          <w:bCs/>
          <w:color w:val="000000"/>
          <w:sz w:val="20"/>
          <w:szCs w:val="20"/>
          <w:lang w:eastAsia="en-IN"/>
        </w:rPr>
        <w:tab/>
      </w:r>
      <w:r w:rsidRPr="0080152C">
        <w:rPr>
          <w:rFonts w:ascii="Arial" w:eastAsia="Times New Roman" w:hAnsi="Arial" w:cs="Arial"/>
          <w:b/>
          <w:bCs/>
          <w:color w:val="000000"/>
          <w:sz w:val="20"/>
          <w:szCs w:val="20"/>
          <w:lang w:eastAsia="en-IN"/>
        </w:rPr>
        <w:tab/>
      </w:r>
      <w:r w:rsidRPr="0080152C">
        <w:rPr>
          <w:rFonts w:ascii="Arial" w:eastAsia="Times New Roman" w:hAnsi="Arial" w:cs="Arial"/>
          <w:b/>
          <w:bCs/>
          <w:color w:val="000000"/>
          <w:sz w:val="20"/>
          <w:szCs w:val="20"/>
          <w:lang w:eastAsia="en-IN"/>
        </w:rPr>
        <w:tab/>
        <w:t>September 12, 2019</w:t>
      </w:r>
    </w:p>
    <w:p w14:paraId="4DA969A7" w14:textId="77777777" w:rsidR="00BC6DE3" w:rsidRPr="002774DE" w:rsidRDefault="00BC6DE3" w:rsidP="00BC6D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77471337" w14:textId="77777777" w:rsidR="00BC6DE3" w:rsidRPr="002774DE" w:rsidRDefault="00BC6DE3" w:rsidP="00BC6D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Large Exposures Framework</w:t>
      </w:r>
    </w:p>
    <w:p w14:paraId="7CB9263A"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7 (a) of the </w:t>
      </w:r>
      <w:hyperlink r:id="rId6"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‘Harmonisation of single counterparty exposure limit for banks’ exposures to a single NBFC with general single counterparty exposure limit’ (</w:t>
      </w:r>
      <w:hyperlink r:id="rId7"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65FC8C02"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terms of circular </w:t>
      </w:r>
      <w:hyperlink r:id="rId8" w:tgtFrame="_blank" w:history="1">
        <w:r w:rsidRPr="002774DE">
          <w:rPr>
            <w:rFonts w:ascii="Arial" w:eastAsia="Times New Roman" w:hAnsi="Arial" w:cs="Arial"/>
            <w:color w:val="0000FF"/>
            <w:sz w:val="20"/>
            <w:szCs w:val="20"/>
            <w:u w:val="single"/>
            <w:lang w:eastAsia="en-IN"/>
          </w:rPr>
          <w:t>DBR.No.BP.BC.43/21.01.003/2018-19 dated June 03, 2019</w:t>
        </w:r>
      </w:hyperlink>
      <w:r w:rsidRPr="002774DE">
        <w:rPr>
          <w:rFonts w:ascii="Arial" w:eastAsia="Times New Roman" w:hAnsi="Arial" w:cs="Arial"/>
          <w:color w:val="000000"/>
          <w:sz w:val="20"/>
          <w:szCs w:val="20"/>
          <w:lang w:eastAsia="en-IN"/>
        </w:rPr>
        <w:t>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w:t>
      </w:r>
    </w:p>
    <w:p w14:paraId="24941C31"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w:t>
      </w:r>
      <w:hyperlink r:id="rId9" w:tgtFrame="_blank" w:history="1">
        <w:r w:rsidRPr="002774DE">
          <w:rPr>
            <w:rFonts w:ascii="Arial" w:eastAsia="Times New Roman" w:hAnsi="Arial" w:cs="Arial"/>
            <w:color w:val="0000FF"/>
            <w:sz w:val="20"/>
            <w:szCs w:val="20"/>
            <w:u w:val="single"/>
            <w:lang w:eastAsia="en-IN"/>
          </w:rPr>
          <w:t>DBOD.BP.BC.No.106/21.04.172/2011-12 dated May 18, 2012</w:t>
        </w:r>
      </w:hyperlink>
      <w:r w:rsidRPr="002774DE">
        <w:rPr>
          <w:rFonts w:ascii="Arial" w:eastAsia="Times New Roman" w:hAnsi="Arial" w:cs="Arial"/>
          <w:color w:val="000000"/>
          <w:sz w:val="20"/>
          <w:szCs w:val="20"/>
          <w:lang w:eastAsia="en-IN"/>
        </w:rPr>
        <w:t>.</w:t>
      </w:r>
    </w:p>
    <w:p w14:paraId="610A5A1E" w14:textId="77777777" w:rsidR="00BC6DE3" w:rsidRDefault="00BC6DE3" w:rsidP="00BC6DE3">
      <w:r>
        <w:t>--------------------------</w:t>
      </w:r>
    </w:p>
    <w:p w14:paraId="537744B4" w14:textId="77777777" w:rsidR="002868D7" w:rsidRDefault="002868D7">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br w:type="page"/>
      </w:r>
    </w:p>
    <w:p w14:paraId="65301454" w14:textId="1679A33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RBI/2019-20/59</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DBR.No.BP.BC.17/21.06.001/2019-20</w:t>
      </w:r>
      <w:r>
        <w:rPr>
          <w:rFonts w:ascii="Arial" w:eastAsia="Times New Roman" w:hAnsi="Arial" w:cs="Arial"/>
          <w:color w:val="000000"/>
          <w:sz w:val="20"/>
          <w:szCs w:val="20"/>
          <w:lang w:eastAsia="en-IN"/>
        </w:rPr>
        <w:t xml:space="preserve"> </w:t>
      </w:r>
      <w:r>
        <w:rPr>
          <w:rFonts w:ascii="Arial" w:eastAsia="Times New Roman" w:hAnsi="Arial" w:cs="Arial"/>
          <w:color w:val="000000"/>
          <w:sz w:val="20"/>
          <w:szCs w:val="20"/>
          <w:lang w:eastAsia="en-IN"/>
        </w:rPr>
        <w:tab/>
      </w:r>
      <w:r>
        <w:rPr>
          <w:rFonts w:ascii="Arial" w:eastAsia="Times New Roman" w:hAnsi="Arial" w:cs="Arial"/>
          <w:color w:val="000000"/>
          <w:sz w:val="20"/>
          <w:szCs w:val="20"/>
          <w:lang w:eastAsia="en-IN"/>
        </w:rPr>
        <w:tab/>
      </w:r>
      <w:r>
        <w:rPr>
          <w:rFonts w:ascii="Arial" w:eastAsia="Times New Roman" w:hAnsi="Arial" w:cs="Arial"/>
          <w:color w:val="000000"/>
          <w:sz w:val="20"/>
          <w:szCs w:val="20"/>
          <w:lang w:eastAsia="en-IN"/>
        </w:rPr>
        <w:tab/>
      </w:r>
      <w:r w:rsidRPr="002774DE">
        <w:rPr>
          <w:rFonts w:ascii="Arial" w:eastAsia="Times New Roman" w:hAnsi="Arial" w:cs="Arial"/>
          <w:color w:val="000000"/>
          <w:sz w:val="20"/>
          <w:szCs w:val="20"/>
          <w:lang w:eastAsia="en-IN"/>
        </w:rPr>
        <w:t>September 12, 2019</w:t>
      </w:r>
    </w:p>
    <w:p w14:paraId="0088B5C8" w14:textId="77777777" w:rsidR="00BC6DE3" w:rsidRPr="002774DE" w:rsidRDefault="00BC6DE3" w:rsidP="00BC6D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Regional Rural Banks</w:t>
      </w:r>
    </w:p>
    <w:p w14:paraId="17B27647" w14:textId="77777777" w:rsidR="00BC6DE3" w:rsidRPr="002774DE" w:rsidRDefault="00BC6DE3" w:rsidP="00BC6D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Risk Weight for Consumer Credit except credit card receivables</w:t>
      </w:r>
    </w:p>
    <w:p w14:paraId="3470333F"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6 of the </w:t>
      </w:r>
      <w:hyperlink r:id="rId10"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‘Reduction in risk weight for consumer credit except credit card receivables’ (</w:t>
      </w:r>
      <w:hyperlink r:id="rId11"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4F6AD8BB"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per extant instructions, consumer credit, including personal loans and credit card receivables but excluding educational loans, attracts a higher risk weight of 125 per cent or higher, if warranted by the external rating of the counterparty.</w:t>
      </w:r>
    </w:p>
    <w:p w14:paraId="51096226"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On a review, it has been decided to reduce the risk weight for consumer credit, including personal loans, but excluding credit card receivables, to 100%. Other stipulations remain the same.</w:t>
      </w:r>
    </w:p>
    <w:p w14:paraId="700736A6" w14:textId="77777777" w:rsidR="00BC6DE3" w:rsidRDefault="00BC6DE3" w:rsidP="00BC6DE3">
      <w:r>
        <w:t>-------------------------------</w:t>
      </w:r>
    </w:p>
    <w:p w14:paraId="77F0C3DC" w14:textId="77777777" w:rsidR="000B5619" w:rsidRPr="000B5619" w:rsidRDefault="000B5619">
      <w:pPr>
        <w:rPr>
          <w:lang w:val="en-US"/>
        </w:rPr>
      </w:pPr>
    </w:p>
    <w:sectPr w:rsidR="000B5619" w:rsidRPr="000B5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846D2"/>
    <w:multiLevelType w:val="multilevel"/>
    <w:tmpl w:val="6A26AF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7A928E4"/>
    <w:multiLevelType w:val="multilevel"/>
    <w:tmpl w:val="D5640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A5760A8"/>
    <w:multiLevelType w:val="multilevel"/>
    <w:tmpl w:val="CCB25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81A7543"/>
    <w:multiLevelType w:val="multilevel"/>
    <w:tmpl w:val="9690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19"/>
    <w:rsid w:val="000B5619"/>
    <w:rsid w:val="001B69B0"/>
    <w:rsid w:val="002868D7"/>
    <w:rsid w:val="004778E7"/>
    <w:rsid w:val="004778E9"/>
    <w:rsid w:val="00601E5B"/>
    <w:rsid w:val="006D04CC"/>
    <w:rsid w:val="0071001D"/>
    <w:rsid w:val="007F08BE"/>
    <w:rsid w:val="00844A8F"/>
    <w:rsid w:val="00BC6DE3"/>
    <w:rsid w:val="00D60B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D9C2"/>
  <w15:chartTrackingRefBased/>
  <w15:docId w15:val="{FA81617F-53D9-41E9-B2F3-9F0122F1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573&amp;Mod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11685&amp;Mode=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BS_PressReleaseDisplay.aspx?prid=47819" TargetMode="External"/><Relationship Id="rId11" Type="http://schemas.openxmlformats.org/officeDocument/2006/relationships/hyperlink" Target="https://www.rbi.org.in/Scripts/NotificationUser.aspx?Id=11684&amp;Mode=0" TargetMode="External"/><Relationship Id="rId5" Type="http://schemas.openxmlformats.org/officeDocument/2006/relationships/hyperlink" Target="https://rbi.org.in/Scripts/NotificationUser.aspx?Id=11529&amp;Mode=0" TargetMode="External"/><Relationship Id="rId10" Type="http://schemas.openxmlformats.org/officeDocument/2006/relationships/hyperlink" Target="https://www.rbi.org.in/Scripts/BS_PressReleaseDisplay.aspx?prid=47819" TargetMode="External"/><Relationship Id="rId4" Type="http://schemas.openxmlformats.org/officeDocument/2006/relationships/webSettings" Target="webSettings.xml"/><Relationship Id="rId9" Type="http://schemas.openxmlformats.org/officeDocument/2006/relationships/hyperlink" Target="https://www.rbi.org.in/Scripts/NotificationUser.aspx?Id=722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2020-05-19T01:13:00Z</dcterms:created>
  <dcterms:modified xsi:type="dcterms:W3CDTF">2020-05-19T05:22:00Z</dcterms:modified>
</cp:coreProperties>
</file>